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21"/>
        </w:tabs>
        <w:spacing w:after="120"/>
        <w:jc w:val="left"/>
        <w:rPr>
          <w:rFonts w:ascii="Times New Roman" w:hAnsi="Times New Roman" w:cs="Times New Roman"/>
          <w:b/>
          <w:bCs/>
          <w:kern w:val="0"/>
          <w:sz w:val="24"/>
          <w:szCs w:val="24"/>
          <w:lang w:val="de-DE"/>
        </w:rPr>
      </w:pPr>
      <w:bookmarkStart w:id="0" w:name="OLE_LINK3"/>
      <w:bookmarkStart w:id="1" w:name="OLE_LINK2"/>
      <w:bookmarkStart w:id="2" w:name="OLE_LINK1"/>
      <w:r>
        <w:rPr>
          <w:rFonts w:ascii="Times New Roman" w:hAnsi="Times New Roman" w:eastAsia="MS Mincho"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hAnsi="Times New Roman" w:eastAsia="MS Mincho" w:cs="Times New Roman"/>
          <w:b/>
          <w:bCs/>
          <w:kern w:val="0"/>
          <w:sz w:val="24"/>
          <w:szCs w:val="24"/>
          <w:lang w:val="de-DE"/>
        </w:rPr>
        <w:t xml:space="preserve"> #</w:t>
      </w:r>
      <w:r>
        <w:rPr>
          <w:rFonts w:ascii="Times New Roman" w:hAnsi="Times New Roman" w:cs="Times New Roman"/>
          <w:b/>
          <w:bCs/>
          <w:kern w:val="0"/>
          <w:sz w:val="24"/>
          <w:szCs w:val="24"/>
          <w:lang w:val="de-DE"/>
        </w:rPr>
        <w:t>8</w:t>
      </w:r>
      <w:r>
        <w:rPr>
          <w:rFonts w:hint="eastAsia" w:ascii="Times New Roman" w:hAnsi="Times New Roman" w:cs="Times New Roman"/>
          <w:b/>
          <w:bCs/>
          <w:kern w:val="0"/>
          <w:sz w:val="24"/>
          <w:szCs w:val="24"/>
          <w:lang w:val="de-DE"/>
        </w:rPr>
        <w:t>6</w:t>
      </w:r>
      <w:r>
        <w:rPr>
          <w:rFonts w:hint="eastAsia" w:ascii="Times New Roman" w:hAnsi="Times New Roman" w:cs="Times New Roman"/>
          <w:b/>
          <w:bCs/>
          <w:kern w:val="0"/>
          <w:sz w:val="24"/>
          <w:szCs w:val="24"/>
          <w:lang w:val="en-US" w:eastAsia="zh-CN"/>
        </w:rPr>
        <w:t>b</w:t>
      </w:r>
      <w:r>
        <w:rPr>
          <w:rFonts w:ascii="Times New Roman" w:hAnsi="Times New Roman" w:cs="Times New Roman"/>
          <w:b/>
          <w:bCs/>
          <w:kern w:val="0"/>
          <w:sz w:val="24"/>
          <w:szCs w:val="24"/>
          <w:lang w:val="de-DE"/>
        </w:rPr>
        <w:t xml:space="preserve">                           R1-</w:t>
      </w:r>
      <w:r>
        <w:rPr>
          <w:rFonts w:hint="eastAsia" w:ascii="Times New Roman" w:hAnsi="Times New Roman" w:cs="Times New Roman"/>
          <w:b/>
          <w:bCs/>
          <w:kern w:val="0"/>
          <w:sz w:val="24"/>
          <w:szCs w:val="24"/>
          <w:lang w:val="de-DE"/>
        </w:rPr>
        <w:t>16</w:t>
      </w:r>
      <w:r>
        <w:rPr>
          <w:rFonts w:hint="eastAsia" w:ascii="Times New Roman" w:hAnsi="Times New Roman" w:cs="Times New Roman"/>
          <w:b/>
          <w:bCs/>
          <w:kern w:val="0"/>
          <w:sz w:val="24"/>
          <w:szCs w:val="24"/>
          <w:lang w:val="en-US" w:eastAsia="zh-CN"/>
        </w:rPr>
        <w:t>09691</w:t>
      </w:r>
    </w:p>
    <w:bookmarkEnd w:id="0"/>
    <w:bookmarkEnd w:id="1"/>
    <w:p>
      <w:pPr>
        <w:tabs>
          <w:tab w:val="left" w:pos="6521"/>
        </w:tabs>
        <w:spacing w:after="120"/>
        <w:jc w:val="left"/>
        <w:rPr>
          <w:rFonts w:ascii="Times New Roman" w:hAnsi="Times New Roman" w:cs="Times New Roman"/>
          <w:b/>
          <w:bCs/>
          <w:kern w:val="0"/>
          <w:sz w:val="24"/>
          <w:szCs w:val="24"/>
          <w:lang w:val="de-DE"/>
        </w:rPr>
      </w:pPr>
      <w:r>
        <w:rPr>
          <w:rFonts w:hint="eastAsia" w:ascii="Times New Roman" w:hAnsi="Times New Roman" w:cs="Times New Roman"/>
          <w:b/>
          <w:bCs/>
          <w:kern w:val="0"/>
          <w:sz w:val="24"/>
          <w:szCs w:val="24"/>
          <w:lang w:val="en-US" w:eastAsia="zh-CN"/>
        </w:rPr>
        <w:t>Lisbon</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Portugal</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10</w:t>
      </w:r>
      <w:r>
        <w:rPr>
          <w:rFonts w:hint="eastAsia" w:ascii="Times New Roman" w:hAnsi="Times New Roman" w:cs="Times New Roman"/>
          <w:b/>
          <w:bCs/>
          <w:kern w:val="0"/>
          <w:sz w:val="24"/>
          <w:szCs w:val="24"/>
          <w:vertAlign w:val="superscript"/>
          <w:lang w:val="en-US" w:eastAsia="zh-CN"/>
        </w:rPr>
        <w:t>th</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14</w:t>
      </w:r>
      <w:r>
        <w:rPr>
          <w:rFonts w:ascii="Times New Roman" w:hAnsi="Times New Roman" w:cs="Times New Roman"/>
          <w:b/>
          <w:bCs/>
          <w:kern w:val="0"/>
          <w:sz w:val="24"/>
          <w:szCs w:val="24"/>
          <w:vertAlign w:val="superscript"/>
          <w:lang w:val="de-DE"/>
        </w:rPr>
        <w:t>th</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October</w:t>
      </w:r>
      <w:r>
        <w:rPr>
          <w:rFonts w:ascii="Times New Roman" w:hAnsi="Times New Roman" w:cs="Times New Roman"/>
          <w:b/>
          <w:bCs/>
          <w:kern w:val="0"/>
          <w:sz w:val="24"/>
          <w:szCs w:val="24"/>
          <w:lang w:val="de-DE"/>
        </w:rPr>
        <w:t xml:space="preserve"> 201</w:t>
      </w:r>
      <w:r>
        <w:rPr>
          <w:rFonts w:hint="eastAsia" w:ascii="Times New Roman" w:hAnsi="Times New Roman" w:cs="Times New Roman"/>
          <w:b/>
          <w:bCs/>
          <w:kern w:val="0"/>
          <w:sz w:val="24"/>
          <w:szCs w:val="24"/>
          <w:lang w:val="de-DE"/>
        </w:rPr>
        <w:t>6</w:t>
      </w:r>
    </w:p>
    <w:p>
      <w:pPr>
        <w:tabs>
          <w:tab w:val="left" w:pos="1985"/>
        </w:tabs>
        <w:spacing w:after="120"/>
        <w:rPr>
          <w:rFonts w:ascii="Times New Roman" w:hAnsi="Times New Roman" w:cs="Times New Roman"/>
          <w:b/>
          <w:sz w:val="24"/>
          <w:szCs w:val="24"/>
        </w:rPr>
      </w:pPr>
    </w:p>
    <w:p>
      <w:pPr>
        <w:tabs>
          <w:tab w:val="left" w:pos="1985"/>
        </w:tabs>
        <w:spacing w:after="120"/>
        <w:rPr>
          <w:rFonts w:ascii="Times New Roman" w:hAnsi="Times New Roman" w:eastAsia="Malgun Gothic"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hint="eastAsia" w:ascii="Times New Roman" w:hAnsi="Times New Roman" w:cs="Times New Roman"/>
          <w:b/>
          <w:sz w:val="24"/>
          <w:lang w:val="en-US" w:eastAsia="zh-CN"/>
        </w:rPr>
        <w:t>8.1.4.1</w:t>
      </w:r>
    </w:p>
    <w:p>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hint="eastAsia" w:ascii="Times New Roman" w:hAnsi="Times New Roman" w:cs="Times New Roman"/>
          <w:b/>
          <w:sz w:val="24"/>
        </w:rPr>
        <w:t>Xinwei</w:t>
      </w:r>
    </w:p>
    <w:bookmarkEnd w:id="2"/>
    <w:p>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hint="eastAsia" w:ascii="Times New Roman" w:hAnsi="Times New Roman" w:cs="Times New Roman"/>
          <w:b/>
          <w:sz w:val="24"/>
          <w:szCs w:val="24"/>
          <w:lang w:val="en-US" w:eastAsia="zh-CN"/>
        </w:rPr>
        <w:t>Beam Management Views and Designs</w:t>
      </w:r>
    </w:p>
    <w:p>
      <w:pPr>
        <w:pBdr>
          <w:bottom w:val="single" w:color="auto" w:sz="12" w:space="1"/>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hAnsi="Times New Roman" w:eastAsia="Batang" w:cs="Times New Roman"/>
          <w:b/>
          <w:sz w:val="24"/>
          <w:lang w:eastAsia="ko-KR"/>
        </w:rPr>
        <w:t>Discussion</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ascii="Times New Roman" w:hAnsi="Times New Roman" w:eastAsia="MS Gothic" w:cs="Times New Roman"/>
          <w:kern w:val="28"/>
          <w:sz w:val="28"/>
          <w:szCs w:val="24"/>
          <w:lang w:eastAsia="ja-JP"/>
        </w:rPr>
        <w:t>Introduction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GB"/>
        </w:rPr>
        <w:t>In RAN1 #8</w:t>
      </w:r>
      <w:r>
        <w:rPr>
          <w:rFonts w:hint="eastAsia" w:ascii="Times New Roman" w:hAnsi="Times New Roman" w:cs="Times New Roman"/>
          <w:kern w:val="0"/>
          <w:sz w:val="22"/>
          <w:lang w:val="en-US" w:eastAsia="zh-CN"/>
        </w:rPr>
        <w:t>6</w:t>
      </w:r>
      <w:r>
        <w:rPr>
          <w:rFonts w:hint="eastAsia" w:ascii="Times New Roman" w:hAnsi="Times New Roman" w:cs="Times New Roman"/>
          <w:kern w:val="0"/>
          <w:sz w:val="22"/>
          <w:lang w:val="en-GB"/>
        </w:rPr>
        <w:t xml:space="preserve"> meeting,</w:t>
      </w:r>
      <w:r>
        <w:rPr>
          <w:rFonts w:hint="eastAsia" w:ascii="Times New Roman" w:hAnsi="Times New Roman" w:cs="Times New Roman"/>
          <w:kern w:val="0"/>
          <w:sz w:val="22"/>
          <w:lang w:val="en-US" w:eastAsia="zh-CN"/>
        </w:rPr>
        <w:t xml:space="preserve"> the following beam management related agreements are achieved.</w:t>
      </w:r>
    </w:p>
    <w:p>
      <w:pPr>
        <w:rPr>
          <w:rFonts w:hint="default" w:ascii="Times New Roman" w:hAnsi="Times New Roman" w:eastAsia="MS Mincho" w:cs="Times New Roman"/>
          <w:b/>
          <w:u w:val="single"/>
          <w:lang w:val="en-US" w:eastAsia="ja-JP"/>
        </w:rPr>
      </w:pPr>
      <w:r>
        <w:rPr>
          <w:rFonts w:hint="default" w:ascii="Times New Roman" w:hAnsi="Times New Roman" w:eastAsia="MS Mincho" w:cs="Times New Roman"/>
          <w:b/>
          <w:highlight w:val="green"/>
          <w:u w:val="single"/>
          <w:lang w:val="en-US" w:eastAsia="ja-JP"/>
        </w:rPr>
        <w:t>Agreements:</w:t>
      </w:r>
    </w:p>
    <w:p>
      <w:pPr>
        <w:numPr>
          <w:ilvl w:val="0"/>
          <w:numId w:val="0"/>
        </w:numPr>
        <w:ind w:leftChars="0"/>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The following DL L1/L2 beam management procedures are supported within one or multiple TRPs: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P-1: is used to enable UE measurement on different TRP Tx beams to support selection of TRP Tx beams/UE Rx beam(s)</w:t>
      </w:r>
    </w:p>
    <w:p>
      <w:pPr>
        <w:numPr>
          <w:ilvl w:val="2"/>
          <w:numId w:val="3"/>
        </w:numPr>
        <w:tabs>
          <w:tab w:val="left" w:pos="2160"/>
        </w:tabs>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For beamforming at TRP, it typically includes a intra/inter-TRP Tx beam sweep from a set of different beams</w:t>
      </w:r>
    </w:p>
    <w:p>
      <w:pPr>
        <w:numPr>
          <w:ilvl w:val="2"/>
          <w:numId w:val="3"/>
        </w:numPr>
        <w:tabs>
          <w:tab w:val="left" w:pos="2160"/>
        </w:tabs>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For beamforming at UE, it typically includes a UE Rx beam sweep from a set of different beams</w:t>
      </w:r>
    </w:p>
    <w:p>
      <w:pPr>
        <w:numPr>
          <w:ilvl w:val="2"/>
          <w:numId w:val="3"/>
        </w:numPr>
        <w:tabs>
          <w:tab w:val="left" w:pos="2160"/>
        </w:tabs>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FFS: TRP Tx beam and UE Rx beam can be determined jointly or sequentially</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P-2: is used to enable UE measurement on different TRP Tx beams to possibly change inter/intra-TRP Tx beam(s)</w:t>
      </w:r>
    </w:p>
    <w:p>
      <w:pPr>
        <w:numPr>
          <w:ilvl w:val="2"/>
          <w:numId w:val="3"/>
        </w:numPr>
        <w:tabs>
          <w:tab w:val="left" w:pos="2160"/>
        </w:tabs>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From  a possibly smaller set of beams for beam refinement than in P-1</w:t>
      </w:r>
    </w:p>
    <w:p>
      <w:pPr>
        <w:numPr>
          <w:ilvl w:val="2"/>
          <w:numId w:val="3"/>
        </w:numPr>
        <w:tabs>
          <w:tab w:val="left" w:pos="2160"/>
        </w:tabs>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P-2 can be a special case of P-1</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P-3: is used to enable UE measurement on the same TRP Tx beam to change UE Rx beam in the case UE uses beamforming</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Strive for the same procedure design for Intra-TRP and inter-TRP beam management</w:t>
      </w:r>
    </w:p>
    <w:p>
      <w:pPr>
        <w:numPr>
          <w:ilvl w:val="2"/>
          <w:numId w:val="3"/>
        </w:numPr>
        <w:tabs>
          <w:tab w:val="left" w:pos="2160"/>
        </w:tabs>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 xml:space="preserve">Note: UE may not know whether it is intra-TRP or inter TRP beam </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Procedures P-2&amp;P-3 can be performed jointly and/or multiple times to achieve e.g. TRP Tx/UE Rx beam change simultaneously</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Procedures P-3 may or may not have physical layer procedure spec. impact</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Support managing multiple Tx/Rx beam pairs for a UE</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Assistance information from another carrier can be studied in beam management procedures</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that above procedure can be applied to any frequency band</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 xml:space="preserve">Note that above procedure can be used in single/multiple beam(s) per TRP </w:t>
      </w:r>
    </w:p>
    <w:p>
      <w:pPr>
        <w:numPr>
          <w:ilvl w:val="1"/>
          <w:numId w:val="3"/>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Note: multi/single beam based initial access and mobility treated within a separate RAN1 agenda item</w:t>
      </w:r>
    </w:p>
    <w:p>
      <w:pPr>
        <w:rPr>
          <w:rFonts w:hint="default" w:ascii="Times New Roman" w:hAnsi="Times New Roman" w:eastAsia="MS Mincho" w:cs="Times New Roman"/>
          <w:b/>
          <w:highlight w:val="green"/>
          <w:u w:val="single"/>
          <w:lang w:val="en-US" w:eastAsia="ja-JP"/>
        </w:rPr>
      </w:pPr>
      <w:r>
        <w:rPr>
          <w:rFonts w:hint="eastAsia" w:ascii="Times New Roman" w:hAnsi="Times New Roman" w:eastAsia="MS Mincho" w:cs="Times New Roman"/>
          <w:b/>
          <w:highlight w:val="green"/>
          <w:u w:val="single"/>
          <w:lang w:val="en-US" w:eastAsia="zh-CN"/>
        </w:rPr>
        <w:t xml:space="preserve">  </w:t>
      </w:r>
      <w:r>
        <w:rPr>
          <w:rFonts w:hint="eastAsia" w:ascii="Times New Roman" w:hAnsi="Times New Roman" w:eastAsia="MS Mincho" w:cs="Times New Roman"/>
          <w:b/>
          <w:highlight w:val="green"/>
          <w:u w:val="single"/>
          <w:lang w:val="en-US" w:eastAsia="ja-JP"/>
        </w:rPr>
        <w:t>A</w:t>
      </w:r>
      <w:r>
        <w:rPr>
          <w:rFonts w:hint="default" w:ascii="Times New Roman" w:hAnsi="Times New Roman" w:eastAsia="MS Mincho" w:cs="Times New Roman"/>
          <w:b/>
          <w:highlight w:val="green"/>
          <w:u w:val="single"/>
          <w:lang w:val="en-US" w:eastAsia="ja-JP"/>
        </w:rPr>
        <w:t>greement</w:t>
      </w:r>
      <w:r>
        <w:rPr>
          <w:rFonts w:hint="eastAsia" w:ascii="Times New Roman" w:hAnsi="Times New Roman" w:eastAsia="MS Mincho" w:cs="Times New Roman"/>
          <w:b/>
          <w:highlight w:val="green"/>
          <w:u w:val="single"/>
          <w:lang w:val="en-US" w:eastAsia="ja-JP"/>
        </w:rPr>
        <w:t>s</w:t>
      </w:r>
      <w:r>
        <w:rPr>
          <w:rFonts w:hint="default" w:ascii="Times New Roman" w:hAnsi="Times New Roman" w:eastAsia="MS Mincho" w:cs="Times New Roman"/>
          <w:b/>
          <w:highlight w:val="green"/>
          <w:u w:val="single"/>
          <w:lang w:val="en-US" w:eastAsia="ja-JP"/>
        </w:rPr>
        <w:t>:</w:t>
      </w:r>
    </w:p>
    <w:p>
      <w:pPr>
        <w:numPr>
          <w:ilvl w:val="0"/>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 xml:space="preserve">Consider different channel reciprocity assumptions in beam management procedures </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At a TRP or UE, with TX and RX channel reciprocity (full or partial) (e.g., beam reciprocity), TX beam (or RX beam) can be obtained from RX beam (or TX beam) to reduce overhead and latency</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Without TX and RX channel reciprocity, beam management procedure may require TX and RX beam sweeping in both DL and UL links</w:t>
      </w:r>
    </w:p>
    <w:p>
      <w:pPr>
        <w:numPr>
          <w:ilvl w:val="0"/>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RAN1 study different methods of determining Tx and Rx beam(s) for communication on one link direction (uplink or downlink), e.g.,</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Joint determination: Tx beam and Rx beam are determined jointly</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 xml:space="preserve">Separate determination: Tx beam or Rx beam are determined sequentially. </w:t>
      </w:r>
    </w:p>
    <w:p>
      <w:pPr>
        <w:numPr>
          <w:ilvl w:val="1"/>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Multi-stage determination: for instance, coarse Tx-Rx beam determination followed by fine Tx-Rx beam determination</w:t>
      </w:r>
    </w:p>
    <w:p>
      <w:pPr>
        <w:numPr>
          <w:ilvl w:val="0"/>
          <w:numId w:val="4"/>
        </w:numPr>
        <w:rPr>
          <w:rFonts w:hint="default" w:ascii="Times New Roman" w:hAnsi="Times New Roman" w:eastAsia="MS Mincho" w:cs="Times New Roman"/>
          <w:i/>
          <w:iCs/>
          <w:lang w:val="en-US" w:eastAsia="ja-JP"/>
        </w:rPr>
      </w:pPr>
      <w:r>
        <w:rPr>
          <w:rFonts w:hint="default" w:ascii="Times New Roman" w:hAnsi="Times New Roman" w:eastAsia="MS Mincho" w:cs="Times New Roman"/>
          <w:i/>
          <w:iCs/>
          <w:lang w:val="en-US" w:eastAsia="ja-JP"/>
        </w:rPr>
        <w:t>Study beam management procedure with and without explicit signaling of beam(s) or beam group(s) used for transmission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this contribution, we have some further discussion on beam management.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Procedures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our </w:t>
      </w:r>
      <w:r>
        <w:rPr>
          <w:rFonts w:hint="eastAsia" w:ascii="Times New Roman" w:hAnsi="Times New Roman" w:cs="Times New Roman"/>
          <w:color w:val="auto"/>
          <w:kern w:val="0"/>
          <w:sz w:val="22"/>
          <w:lang w:val="en-US" w:eastAsia="zh-CN"/>
        </w:rPr>
        <w:t>companion contribution[1],</w:t>
      </w:r>
      <w:r>
        <w:rPr>
          <w:rFonts w:hint="eastAsia" w:ascii="Times New Roman" w:hAnsi="Times New Roman" w:cs="Times New Roman"/>
          <w:kern w:val="0"/>
          <w:sz w:val="22"/>
          <w:lang w:val="en-US" w:eastAsia="zh-CN"/>
        </w:rPr>
        <w:t xml:space="preserve"> we discuss the framework of NR MIMO and beam management. The framework should be divided into two phases, the first phase without </w:t>
      </w:r>
      <w:r>
        <w:rPr>
          <w:rFonts w:hint="eastAsia" w:ascii="Times New Roman" w:hAnsi="Times New Roman" w:cs="Times New Roman"/>
          <w:i/>
          <w:iCs/>
          <w:kern w:val="0"/>
          <w:sz w:val="22"/>
          <w:lang w:val="en-US" w:eastAsia="zh-CN"/>
        </w:rPr>
        <w:t xml:space="preserve">a priori </w:t>
      </w:r>
      <w:r>
        <w:rPr>
          <w:rFonts w:hint="eastAsia" w:ascii="Times New Roman" w:hAnsi="Times New Roman" w:cs="Times New Roman"/>
          <w:kern w:val="0"/>
          <w:sz w:val="22"/>
          <w:lang w:val="en-US" w:eastAsia="zh-CN"/>
        </w:rPr>
        <w:t xml:space="preserve">information and the second phase with </w:t>
      </w:r>
      <w:r>
        <w:rPr>
          <w:rFonts w:hint="eastAsia" w:ascii="Times New Roman" w:hAnsi="Times New Roman" w:cs="Times New Roman"/>
          <w:i/>
          <w:iCs/>
          <w:kern w:val="0"/>
          <w:sz w:val="22"/>
          <w:lang w:val="en-US" w:eastAsia="zh-CN"/>
        </w:rPr>
        <w:t xml:space="preserve">a priori </w:t>
      </w:r>
      <w:r>
        <w:rPr>
          <w:rFonts w:hint="eastAsia" w:ascii="Times New Roman" w:hAnsi="Times New Roman" w:cs="Times New Roman"/>
          <w:kern w:val="0"/>
          <w:sz w:val="22"/>
          <w:lang w:val="en-US" w:eastAsia="zh-CN"/>
        </w:rPr>
        <w:t xml:space="preserve">information. The information of spatial configuration and characteristics gained in the first phase could be leveraged in the second phase to facilitate data transmission. RS transmission, CSI measurement and CSI report for  beam management and other MIMO related procedures should be fit in one common framework.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 management exists in both the first phase and the second phase. The main target for beam management in the first phase is for beam acquisition, while for the second phase, beam management is mainly targeting beam refinement.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accordance with the terminology from above RAN1 #86 agreement, DL beam management for the first phase should use the component sub-procedure P-1. In the P-1 sub-procedure for the first phase, UE determines the coarse beam for eNB Tx and UE Rx. Then for the following random access procedure, UE makes use of information from the P-1 sub-procedure and starts transmitting random access signals. For the first phase, at least partial spatial(beam) reciprocity should be assumed for broadcast signals and random access signals. Scheme design should facilitate the usage of such reciprocity information.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 Initial access should be designed to facilitate usage of (full or partial) beam reciprocity for DL and UL.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2: DL beam management for the first phase (initial access) use the component sub-procedure P-1. UL beam management for the first phase (initial access) use the information gained from P-1.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the second phase, DL beam management should use the component procedure P-2 and P-3. P-2 is similar with P-1 in the sense that the procedure enables UE measurement on different beams. It is possible that candidate beams for P-1 and P-2 are from the same or  different sets. For the case with same candidate beam set, P-2 set might just consist of fewer beams than P-1 set for refinement. For the case with different candidate beam set, P-2 set might consist of completely different set of beams: the beam for the first phase provide geometrical information for the second phase. The second phase uses the information to construct beams with narrower beamwidth.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UL beam management should make use of the information from DL measurement if possible. Beam reciprocity at this stage could not be guaranteed due to finer beams. But transmission like beam cycling and beam diversity may still make use of the information from DL measurement. UL sounding reference signal should also be used for the eNB to gain spatial information. What beam to be sounded and to be used by data transmission should be controlled by eNB.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3: DL beam management for the second phase (after initial access) use the component sub-procedure P-2 and P-3. UL beam management for the second phase relies on sounding reference signal measurement and eNB control.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Components of Beam Management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Beam management mainly consists of beam RS transmission, beam RS measurement and beam CSI report. In our</w:t>
      </w:r>
      <w:r>
        <w:rPr>
          <w:rFonts w:hint="eastAsia" w:ascii="Times New Roman" w:hAnsi="Times New Roman" w:cs="Times New Roman"/>
          <w:color w:val="auto"/>
          <w:kern w:val="0"/>
          <w:sz w:val="22"/>
          <w:lang w:val="en-US" w:eastAsia="zh-CN"/>
        </w:rPr>
        <w:t xml:space="preserve"> companion contribution[1], </w:t>
      </w:r>
      <w:r>
        <w:rPr>
          <w:rFonts w:hint="eastAsia" w:ascii="Times New Roman" w:hAnsi="Times New Roman" w:cs="Times New Roman"/>
          <w:kern w:val="0"/>
          <w:sz w:val="22"/>
          <w:lang w:val="en-US" w:eastAsia="zh-CN"/>
        </w:rPr>
        <w:t xml:space="preserve">we have the proposal that RS transmission, measurement and report for beam management and other MIMO transmission procedure should be fitted in the same common framework.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As discussed above, beam management may refer to initial access coarse beam or data transmission finer beam. The beam may be constructed by beams from multiple TxRUs, multiple panels or even multiple TRPs. The common framework should be as transparent as possible to how the beam is constructed, but this should not be done sacrificing gains from further information about beam construction.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4: The main components of beam management consists of beam RS transmission, beam RS measurement and CSI report consisting of beam index.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Beam Management for Initial Access (First Phase as in [1])</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initial access, UE needs to find out the best beam for broadcast signal and random access procedure. This information could later be used for beam management in the second phase.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The reason that initial access should be combined with beam management is that in some deployment scenarios, especially those in high frequency band, beams are needed for coverage. But there is possibility that for different scenarios, the need of beamforming at initial access are completely different. It is also possible that at frequency under 6GHz, there is no beamforming for broadcast signal and random access.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is a tradeoff between beamwidth and overhead consumption. The EIRP of each beam is higher with narrower beamdith, but the system performance might be degraded due to more overhead consumption with more beams to cover the whole area. Furthermore, narrower beamwidth might lead to poorer link performance due to spatial filtering of multipath, which could increase diversity and signal power. The above tradeoff is dependent on the specific deployment, thus it is better left for implementation to decide how many beams are going to be constructed for broadcast signal coverage.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From above ananlysis, beam construction should be transparent to UE at the initial access procedure. Beam management at this stage should work without any</w:t>
      </w:r>
      <w:r>
        <w:rPr>
          <w:rFonts w:hint="eastAsia" w:ascii="Times New Roman" w:hAnsi="Times New Roman" w:cs="Times New Roman"/>
          <w:i/>
          <w:iCs/>
          <w:kern w:val="0"/>
          <w:sz w:val="22"/>
          <w:lang w:val="en-US" w:eastAsia="zh-CN"/>
        </w:rPr>
        <w:t xml:space="preserve"> a priori </w:t>
      </w:r>
      <w:r>
        <w:rPr>
          <w:rFonts w:hint="eastAsia" w:ascii="Times New Roman" w:hAnsi="Times New Roman" w:cs="Times New Roman"/>
          <w:kern w:val="0"/>
          <w:sz w:val="22"/>
          <w:lang w:val="en-US" w:eastAsia="zh-CN"/>
        </w:rPr>
        <w:t xml:space="preserve">information.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DL Tx beam construction at initial access should be transparent to UE. DL Rx beam should also be implementation specific, with predefined performance requirement;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UL part in initial access, UE would transmit random access signals for the eNB to receive. There is agreement that RACH resource is obtained through detected DL broadcast channels. Thus it is believed for UL/DL beam reciprocity is assumed. UL Tx/Rx beam should make use of the information from DL Tx/Rx. Due to the fact that eNB has no knowledge which UE is trying to access at this stage, UL Rx would use the same beam as the DL Tx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are several choices for UL Tx beam. It is possible that schemes like beam cycling might be used for the UE to transmit uplink signal on the beam that is different from the DL Rx beam. Signal design for this scheme would require eNB to detect random access signal multiple times. The detailed designs could be categorized as the following alternatives:</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 eNB only detects once per resource with predefined/associated beam </w:t>
      </w:r>
    </w:p>
    <w:p>
      <w:pPr>
        <w:widowControl/>
        <w:numPr>
          <w:ilvl w:val="1"/>
          <w:numId w:val="5"/>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Alt 1-1: UE transmits once for each random access trial on the Tx beam that is the same as the DL Rx beam and on the resources associated with the detected DL beam;</w:t>
      </w:r>
    </w:p>
    <w:p>
      <w:pPr>
        <w:widowControl/>
        <w:numPr>
          <w:ilvl w:val="1"/>
          <w:numId w:val="5"/>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1-2: UE transmits multiple times for each random access trial, but there is only one transmission on the resources associated with one DL Tx beam. UL Tx beam might be different or the same for different resources.     </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Alt 2: eNB detects multiple times per resource with predefined/associated beam</w:t>
      </w:r>
    </w:p>
    <w:p>
      <w:pPr>
        <w:widowControl/>
        <w:numPr>
          <w:ilvl w:val="1"/>
          <w:numId w:val="5"/>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2-1: UE transmits multiple times on each resource. UL Tx beam would typically be different across the bundled multiple transmission. UL Rx beam is the same as the DL Tx beam associated with the resource.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kern w:val="0"/>
          <w:sz w:val="22"/>
          <w:lang w:val="en-US" w:eastAsia="zh-CN"/>
        </w:rPr>
        <w:t xml:space="preserve">Each of the above categories has its own advantages and disadvantages. Alt 1-1 is the simplest conceptually and requires the lowest standardization effort. But it requires accurate UE beam selection and proper UE beam design to ensure beam reciprocity. Alt 1-2 offers more opportunities for the UE to access, but consumes more resources and it is possible even with multiple trials UE may still not be able to use the best beam pair. Alt 2-1 also requires more resources and eNB has to detect multiple times for each beam. All the possible alternatives should be studied and a combination of the above three alternatives might have advantages and disadvantages of all the three alternatives.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6: UL random access Rx beam is the same as the DL broadcast Tx beam; All the three possible UL random access Tx beam selection alternatives should be studied, including a combination of them.</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 signal strength should be measured for initial access and other mobility procedures. When the broadcast block is transmitted in a multi-beam based approach, random access and mobility control should be on the same beam level.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idle mode, UE should measure RS in different broadcast blocks, track their status and select the best beam to reside on. UE behavior that may influence beam selection includes movement, blockage and rotation, which may induce quick beam change at UE side. It may help to design the above mentioned broadcast block in such a way that multiple UE Rx beams may be tried within in one block. But this influences the unified framework since in many cases it is not necessary to try multiple Rx beams or only one beam exist. In practice, the UE Rx beamwidth at the initial access would be large enough for robustness. The main scenario for UE to change beam is the case that two panels are facing opposite directions and signal strength in the two directions has large gap in between. But for current practice each panel is normally connected to at least one TxRU. Beam measurement on different UE Rx beam of different panels could be conducted at the same time. Thus signal design like repetition of synchronization signal and beam RS should not be emphasized to facilitate such special use case.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7: Multiple trials of UE Rx beam within one broadcast block should be conducted more in an implementation specific manner, rather than through repetition of synchronization signal and beam RS within one broadcast block;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Through detection of broadcast block, UE gain information about DL Tx and DL Rx. As what we proposed, in the following random access signal transmission and reception, UE transmits with the same beam as DL Rx (as one possible scheme) on the random access resources associated with the DL Tx beam and eNB receive the signal with the beam same as DL Tx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This beam level mobility control not only influence the initial access part, but also data transmission after RRC connection. After RRC connection establishment, as what we proposed in our </w:t>
      </w:r>
      <w:r>
        <w:rPr>
          <w:rFonts w:hint="eastAsia" w:ascii="Times New Roman" w:hAnsi="Times New Roman" w:cs="Times New Roman"/>
          <w:color w:val="auto"/>
          <w:kern w:val="0"/>
          <w:sz w:val="22"/>
          <w:lang w:val="en-US" w:eastAsia="zh-CN"/>
        </w:rPr>
        <w:t>companion contribution [1]</w:t>
      </w:r>
      <w:r>
        <w:rPr>
          <w:rFonts w:hint="eastAsia" w:ascii="Times New Roman" w:hAnsi="Times New Roman" w:cs="Times New Roman"/>
          <w:kern w:val="0"/>
          <w:sz w:val="22"/>
          <w:lang w:val="en-US" w:eastAsia="zh-CN"/>
        </w:rPr>
        <w:t>, configurability with a robust control channel is the major component of the dynamic framework. Thus a robust control channel should be established after initial access. The effectiveness of such control channel is important in the sense that all the following connection maintainance is based on this channel. This robust control channel includes DL part and UL part. Through detection of broadcast block, UE gained information about DL Tx beam and DL Rx beam. Random access is also based on this beam information. DL control channel could also be on the same DL Tx beam and DL Rx beam. But it is also beneficial for the UE to combine signals from multiple panels, thus DL control Rx beams selection should be implementation specific. For UL control channel, it is highly preferred that beam reciprocity is leveraged to use DL broadcast Rx as UL Tx beam and DL Tx as UL Rx beam. UL control channel may not always be needed. DL control would indicate whether there is UL control in the slot. Thus eNB and UE both know the exact Tx and Rx beam information.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It is possible that for some special cases, DL may be beamformed with some other choices. When eNB believe there is robust connection on beams different from broadcast block, eNB could switch to another beam. But for DL Rx, if UE uses another different beam with narrower beamwidth than the broadcast block, then signal structure like RS repetition may be needed for the UE to switch beam within the resource block. Another possible solution to ensure beam alignment between UE and eNB is to design a multi-stage DL control channel. The first stage is always using the same beam as DL broadcast block and indicates which beam is going to be used. The second stage could use the information to decode control signaling. The above two solution could be combined to fit in all the possible signal structures under the same framework.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8: DL control channel Tx could use the same beam as the DL broadcast block; DL control channel Rx beam selection or combination may be implementation specific; UL control channel transmission is controlled by DL and could use the DL control Rx as its Tx beam and DL Tx beam as its Rx beam. Other beam could also be used.</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9: Multi-stage control channel should be designed to facilitate DL control Tx and Rx beam switch, with the first stage using the same beam as DL broadcast block Tx and the second stage using beams with narrower beamwidth.</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Report of signal strength is necessary for beam maintainance. UE in connected mode should report beam signal strength periodically according to specific configuration. eNB may configure UE to measure signals on any specific broadcast block. Measurements may only be in RSRP form. SNR is not be necessary since it is not a stable metric and varies a lot in the scale of mobility control report.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Another issue related to the report is that in our above proposal, beam ID is not explicitly indicated but implied through relative position of broadcast block. Explicit ID may be needed for eNB to configure measurement or for the UE to report events like which beam is the strongest.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10: For beam measurement in the first phase, RSRP measurement of any specific or all possible beams is configured UE specifically when the UE is in connected mode. Corresponding report is also configured UE specifically.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11: Although beam ID is not explicitly detected, it still needs explicit identification of beams related to each broadcast block.</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Beam Management for Data Transmission (Second Phase as in [1])</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There are several different kinds of beam construction methods in massive MIMO with respect to TxRU to antenna elements mapping. TxRU virtualization mainly consists of the following kinds:</w:t>
      </w:r>
    </w:p>
    <w:p>
      <w:pPr>
        <w:ind w:left="0" w:firstLine="0"/>
        <w:rPr>
          <w:rFonts w:hint="default" w:ascii="Times New Roman" w:hAnsi="Times New Roman" w:eastAsia="MS Mincho" w:cs="Times New Roman"/>
          <w:b/>
          <w:highlight w:val="green"/>
          <w:u w:val="single"/>
          <w:lang w:val="en-US" w:eastAsia="zh-CN"/>
        </w:rPr>
      </w:pPr>
      <w:r>
        <w:rPr>
          <w:rFonts w:hint="default" w:ascii="Times New Roman" w:hAnsi="Times New Roman" w:eastAsia="MS Mincho" w:cs="Times New Roman"/>
          <w:b/>
          <w:highlight w:val="green"/>
          <w:u w:val="single"/>
          <w:lang w:val="en-US" w:eastAsia="zh-CN"/>
        </w:rPr>
        <w:t>Agreement</w:t>
      </w:r>
    </w:p>
    <w:p>
      <w:pPr>
        <w:numPr>
          <w:ilvl w:val="0"/>
          <w:numId w:val="6"/>
        </w:numPr>
        <w:rPr>
          <w:rFonts w:ascii="Times New Roman" w:hAnsi="Times New Roman"/>
          <w:bCs/>
          <w:i/>
          <w:iCs/>
          <w:szCs w:val="20"/>
        </w:rPr>
      </w:pPr>
      <w:r>
        <w:rPr>
          <w:rFonts w:ascii="Times New Roman" w:hAnsi="Times New Roman"/>
          <w:bCs/>
          <w:i/>
          <w:iCs/>
          <w:szCs w:val="20"/>
        </w:rPr>
        <w:t>Consider the following TXRU to antenna elements mapping as examples</w:t>
      </w:r>
    </w:p>
    <w:p>
      <w:pPr>
        <w:widowControl w:val="0"/>
        <w:numPr>
          <w:ilvl w:val="1"/>
          <w:numId w:val="6"/>
        </w:numPr>
        <w:autoSpaceDE w:val="0"/>
        <w:autoSpaceDN w:val="0"/>
        <w:jc w:val="both"/>
        <w:rPr>
          <w:rFonts w:ascii="Times New Roman" w:hAnsi="Times New Roman"/>
          <w:b/>
          <w:bCs/>
          <w:i/>
          <w:iCs/>
          <w:szCs w:val="20"/>
        </w:rPr>
      </w:pPr>
      <w:r>
        <w:rPr>
          <w:rFonts w:ascii="Times New Roman" w:hAnsi="Times New Roman"/>
          <w:b/>
          <w:bCs/>
          <w:i/>
          <w:iCs/>
          <w:szCs w:val="20"/>
        </w:rPr>
        <w:t xml:space="preserve">At 4GHz: </w:t>
      </w:r>
      <w:r>
        <w:rPr>
          <w:rFonts w:ascii="Times New Roman" w:hAnsi="Times New Roman"/>
          <w:bCs/>
          <w:i/>
          <w:iCs/>
          <w:szCs w:val="20"/>
        </w:rPr>
        <w:t>the same as TR36.897</w:t>
      </w:r>
    </w:p>
    <w:p>
      <w:pPr>
        <w:widowControl w:val="0"/>
        <w:numPr>
          <w:ilvl w:val="1"/>
          <w:numId w:val="6"/>
        </w:numPr>
        <w:autoSpaceDE w:val="0"/>
        <w:autoSpaceDN w:val="0"/>
        <w:jc w:val="both"/>
        <w:rPr>
          <w:rFonts w:ascii="Times New Roman" w:hAnsi="Times New Roman"/>
          <w:b/>
          <w:bCs/>
          <w:i/>
          <w:iCs/>
          <w:szCs w:val="20"/>
        </w:rPr>
      </w:pPr>
      <w:r>
        <w:rPr>
          <w:rFonts w:ascii="Times New Roman" w:hAnsi="Times New Roman"/>
          <w:b/>
          <w:bCs/>
          <w:i/>
          <w:iCs/>
          <w:szCs w:val="20"/>
        </w:rPr>
        <w:t xml:space="preserve">At 30GHz and 70GHz: </w:t>
      </w:r>
    </w:p>
    <w:p>
      <w:pPr>
        <w:widowControl w:val="0"/>
        <w:numPr>
          <w:ilvl w:val="2"/>
          <w:numId w:val="6"/>
        </w:numPr>
        <w:autoSpaceDE w:val="0"/>
        <w:autoSpaceDN w:val="0"/>
        <w:jc w:val="both"/>
        <w:rPr>
          <w:rFonts w:ascii="Times New Roman" w:hAnsi="Times New Roman"/>
          <w:i/>
          <w:iCs/>
          <w:szCs w:val="20"/>
        </w:rPr>
      </w:pPr>
      <w:r>
        <w:rPr>
          <w:rFonts w:ascii="Times New Roman" w:hAnsi="Times New Roman"/>
          <w:b/>
          <w:bCs/>
          <w:i/>
          <w:iCs/>
          <w:szCs w:val="20"/>
        </w:rPr>
        <w:t xml:space="preserve">Option 1: </w:t>
      </w:r>
      <w:r>
        <w:rPr>
          <w:rFonts w:ascii="Times New Roman" w:hAnsi="Times New Roman"/>
          <w:i/>
          <w:iCs/>
          <w:szCs w:val="20"/>
        </w:rPr>
        <w:t>a single TXRU is mapped per panel per polarization.</w:t>
      </w:r>
    </w:p>
    <w:p>
      <w:pPr>
        <w:widowControl w:val="0"/>
        <w:numPr>
          <w:ilvl w:val="2"/>
          <w:numId w:val="6"/>
        </w:numPr>
        <w:autoSpaceDE w:val="0"/>
        <w:autoSpaceDN w:val="0"/>
        <w:jc w:val="both"/>
        <w:rPr>
          <w:rFonts w:ascii="Times New Roman" w:hAnsi="Times New Roman"/>
          <w:i/>
          <w:iCs/>
          <w:szCs w:val="20"/>
        </w:rPr>
      </w:pPr>
      <w:r>
        <w:rPr>
          <w:rFonts w:ascii="Times New Roman" w:hAnsi="Times New Roman"/>
          <w:b/>
          <w:bCs/>
          <w:i/>
          <w:iCs/>
          <w:szCs w:val="20"/>
        </w:rPr>
        <w:t>Option 2</w:t>
      </w:r>
      <w:r>
        <w:rPr>
          <w:rFonts w:ascii="Times New Roman" w:hAnsi="Times New Roman"/>
          <w:i/>
          <w:iCs/>
          <w:szCs w:val="20"/>
        </w:rPr>
        <w:t xml:space="preserve">: a single TXRU is mapped per panel per subarray per polarization, </w:t>
      </w:r>
    </w:p>
    <w:p>
      <w:pPr>
        <w:widowControl w:val="0"/>
        <w:numPr>
          <w:ilvl w:val="3"/>
          <w:numId w:val="6"/>
        </w:numPr>
        <w:autoSpaceDE w:val="0"/>
        <w:autoSpaceDN w:val="0"/>
        <w:jc w:val="both"/>
        <w:rPr>
          <w:rFonts w:ascii="Times New Roman" w:hAnsi="Times New Roman"/>
          <w:i/>
          <w:iCs/>
          <w:szCs w:val="20"/>
        </w:rPr>
      </w:pPr>
      <w:r>
        <w:rPr>
          <w:rFonts w:ascii="Times New Roman" w:hAnsi="Times New Roman"/>
          <w:i/>
          <w:iCs/>
          <w:szCs w:val="20"/>
        </w:rPr>
        <w:t>E.g., where a subarray consists of consecutive M/2 vertical antennas and N/2 horizontal antennas with the same polarization.</w:t>
      </w:r>
    </w:p>
    <w:p>
      <w:pPr>
        <w:widowControl w:val="0"/>
        <w:numPr>
          <w:ilvl w:val="3"/>
          <w:numId w:val="6"/>
        </w:numPr>
        <w:autoSpaceDE w:val="0"/>
        <w:autoSpaceDN w:val="0"/>
        <w:jc w:val="both"/>
        <w:rPr>
          <w:rFonts w:ascii="Times New Roman" w:hAnsi="Times New Roman"/>
          <w:i/>
          <w:iCs/>
          <w:szCs w:val="20"/>
        </w:rPr>
      </w:pPr>
      <w:r>
        <w:rPr>
          <w:rFonts w:ascii="Times New Roman" w:hAnsi="Times New Roman"/>
          <w:i/>
          <w:iCs/>
          <w:szCs w:val="20"/>
        </w:rPr>
        <w:t xml:space="preserve">Other subarray configurations are not precluded. </w:t>
      </w:r>
    </w:p>
    <w:p>
      <w:pPr>
        <w:widowControl w:val="0"/>
        <w:numPr>
          <w:ilvl w:val="2"/>
          <w:numId w:val="6"/>
        </w:numPr>
        <w:autoSpaceDE w:val="0"/>
        <w:autoSpaceDN w:val="0"/>
        <w:jc w:val="both"/>
        <w:rPr>
          <w:rFonts w:ascii="Times New Roman" w:hAnsi="Times New Roman"/>
          <w:i/>
          <w:iCs/>
          <w:szCs w:val="20"/>
        </w:rPr>
      </w:pPr>
      <w:r>
        <w:rPr>
          <w:rFonts w:ascii="Times New Roman" w:hAnsi="Times New Roman"/>
          <w:b/>
          <w:bCs/>
          <w:i/>
          <w:iCs/>
          <w:szCs w:val="20"/>
        </w:rPr>
        <w:t>Option 3</w:t>
      </w:r>
      <w:r>
        <w:rPr>
          <w:rFonts w:ascii="Times New Roman" w:hAnsi="Times New Roman"/>
          <w:i/>
          <w:iCs/>
          <w:szCs w:val="20"/>
        </w:rPr>
        <w:t>: Fully connected TXRU mapping within a panel per polarization.</w:t>
      </w:r>
    </w:p>
    <w:p>
      <w:pPr>
        <w:widowControl w:val="0"/>
        <w:numPr>
          <w:ilvl w:val="3"/>
          <w:numId w:val="6"/>
        </w:numPr>
        <w:autoSpaceDE w:val="0"/>
        <w:autoSpaceDN w:val="0"/>
        <w:jc w:val="both"/>
        <w:rPr>
          <w:rFonts w:ascii="Times New Roman" w:hAnsi="Times New Roman"/>
          <w:i/>
          <w:iCs/>
          <w:szCs w:val="20"/>
        </w:rPr>
      </w:pPr>
      <w:r>
        <w:rPr>
          <w:rFonts w:ascii="Times New Roman" w:hAnsi="Times New Roman"/>
          <w:i/>
          <w:iCs/>
          <w:szCs w:val="20"/>
        </w:rPr>
        <w:t xml:space="preserve">Other Fully connected TXRU mapping is not precluded.  </w:t>
      </w:r>
    </w:p>
    <w:p>
      <w:pPr>
        <w:widowControl/>
        <w:spacing w:after="120"/>
        <w:rPr>
          <w:rFonts w:hint="eastAsia" w:ascii="Times New Roman" w:hAnsi="Times New Roman" w:cs="Times New Roman"/>
          <w:kern w:val="0"/>
          <w:sz w:val="22"/>
          <w:lang w:val="en-US" w:eastAsia="zh-CN"/>
        </w:rPr>
      </w:pPr>
    </w:p>
    <w:p>
      <w:pPr>
        <w:widowControl/>
        <w:numPr>
          <w:ilvl w:val="0"/>
          <w:numId w:val="0"/>
        </w:numPr>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 possible beam construction includes:</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1: Pure analog beam: beams are only constructed with analog domain weight; option 1 and option 3 mainly use this kind of beam;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Alt 2: Hybrid beam: beams are constructed with analog and digital beamforming weights;</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2-1: Hybrid within a panel, antenna elements within a panel but belonging to different subarray are used to form the beam; Option 2 could be used to construct this kind of beam;  </w:t>
      </w:r>
    </w:p>
    <w:p>
      <w:pPr>
        <w:widowControl/>
        <w:numPr>
          <w:ilvl w:val="1"/>
          <w:numId w:val="7"/>
        </w:numPr>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Alt 2-2: Hybrid across panels, antenna elements across the panels are used to form the beam; Option 1, 2 and 3 could all be used to construct this kind of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Beam management should cover all the possible kinds of beams. Although it seems that beam construction should be as transparent to UE as possible, study may still be needed to see whether there are gains if UE is aware of beam construction details.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12: The benefit of UE awareness of how beam is constructed (e.g. beamforming vector ) should be studied.</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our </w:t>
      </w:r>
      <w:r>
        <w:rPr>
          <w:rFonts w:hint="eastAsia" w:ascii="Times New Roman" w:hAnsi="Times New Roman" w:cs="Times New Roman"/>
          <w:color w:val="auto"/>
          <w:kern w:val="0"/>
          <w:sz w:val="22"/>
          <w:lang w:val="en-US" w:eastAsia="zh-CN"/>
        </w:rPr>
        <w:t>companion contribution[2],</w:t>
      </w:r>
      <w:r>
        <w:rPr>
          <w:rFonts w:hint="eastAsia" w:ascii="Times New Roman" w:hAnsi="Times New Roman" w:cs="Times New Roman"/>
          <w:kern w:val="0"/>
          <w:sz w:val="22"/>
          <w:lang w:val="en-US" w:eastAsia="zh-CN"/>
        </w:rPr>
        <w:t xml:space="preserve"> it is shown that with knowledge of beamforming vector the overhead of beam training could largely be reduced.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As discussed in the previous sections, in the second phase UE have gained some initial information about system antenna configuration and the appropriate beam to be used for Tx and Rx; eNB also has some knowledge about UE capability and the relative geometrical direction of UE. With these information, a robust multi-stage control channel could be built. We propose to build a dynamically configurable framework to satisfy different needs and always changing wireless environment.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We also propose that RS transmission, CSI measurement and CSI report should be structured in the same framework for beam management and other MIMO related procedures. Thus the design here should consider all possible cases of MIMO transmission.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Gained information in the first phase would typically provide some coarse information about UE direction. Beam for data transmission could be refined with higher SNR.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LTE R13 FD-MIMO already provides a framework with three levels of beam:</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1: Without beam (Sector beam), Class A 16 port (expanded to 32 ports in R14) is typically assumed to broadcast in the whole cell/sector, probably with port virtualization from multiple antenna elements; </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2: Cell specific beam, Class B K&gt;1 beams are simultaneously broadcast in the whole cell for UE to measure. UE could find out the best beam (CRI) and report its CSI (PMI, RI and CQI).     </w:t>
      </w:r>
    </w:p>
    <w:p>
      <w:pPr>
        <w:widowControl/>
        <w:numPr>
          <w:ilvl w:val="0"/>
          <w:numId w:val="8"/>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Level 3: UE specific beam, Class B K=1 with multiple ports corresponding to a much finer beam each. UE report with PMI the selected beam.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Generally, we propose to use the above framework for NR beam management at the second phase. But there are still some points to refine:</w:t>
      </w:r>
    </w:p>
    <w:p>
      <w:pPr>
        <w:widowControl/>
        <w:numPr>
          <w:ilvl w:val="0"/>
          <w:numId w:val="9"/>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 xml:space="preserve">RS Overhead reduction: analog beam would largely increase overhead, techniques for overhead reduction should be studied; </w:t>
      </w:r>
    </w:p>
    <w:p>
      <w:pPr>
        <w:widowControl/>
        <w:numPr>
          <w:ilvl w:val="0"/>
          <w:numId w:val="9"/>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 xml:space="preserve">Beam combination codebook design: novel codebook should be defined to effectively combine multiple analog beams; </w:t>
      </w:r>
    </w:p>
    <w:p>
      <w:pPr>
        <w:widowControl/>
        <w:numPr>
          <w:ilvl w:val="0"/>
          <w:numId w:val="9"/>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 xml:space="preserve">CoMP enhancement: novel report of whether two TRPs should be combined to transmit; novel calculation under the new report; </w:t>
      </w:r>
    </w:p>
    <w:p>
      <w:pPr>
        <w:widowControl/>
        <w:numPr>
          <w:ilvl w:val="0"/>
          <w:numId w:val="9"/>
        </w:numPr>
        <w:spacing w:after="120"/>
        <w:ind w:left="840" w:leftChars="0" w:hanging="420" w:firstLineChars="0"/>
        <w:rPr>
          <w:rFonts w:hint="eastAsia" w:ascii="Times New Roman" w:hAnsi="Times New Roman" w:cs="Times New Roman"/>
          <w:color w:val="auto"/>
          <w:kern w:val="0"/>
          <w:sz w:val="22"/>
          <w:lang w:val="en-US" w:eastAsia="zh-CN"/>
        </w:rPr>
      </w:pPr>
      <w:r>
        <w:rPr>
          <w:rFonts w:hint="eastAsia" w:ascii="Times New Roman" w:hAnsi="Times New Roman" w:cs="Times New Roman"/>
          <w:color w:val="auto"/>
          <w:kern w:val="0"/>
          <w:sz w:val="22"/>
          <w:lang w:val="en-US" w:eastAsia="zh-CN"/>
        </w:rPr>
        <w:t>Streamlining: transmission modes and report classes should be further streamlined;</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13: Refine LTE FD-MIMO framework in the following aspects for NR DL beam management for the second phase: RS overhead reduction, beam combination codebook design, CoMP enhancement, streamlining of transmission modes and CSI report classes.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the case of TDD system, due to the existence of analog beam, it may not fully utilize channel reciprocity. Thus even for TDD, reference signal for beam training is still needed.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14: It is necessary for NR TDD to support downlink beam training reference signal for Tx beam and Rx beam selection.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UL beam management could leverage beam reciprocity between DL and UL. UE would maintain the best Rx beam for each received Tx beam. When the UE is indicated to transmit UL SRS signal, UE could select a beam range around the DL Rx beam to transmit. eNB would use the beam (which is indicated to UE in UL SRS triggering) or a beam range around the beam to receive the UL SRS. Due to large amount of analog beams, a similar hierarchical SRS structure should also be supported for UL beam training and channel state measurement. Macro level could be used mainly for beam training with very sparse reference signal in frequency domain while micro level mainly used for channel state measurement.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Note that SRS samples may not be evenly spread in frequency domain. If similar ZC sequences in LTE are used in NR, evenly spread SRS in frequency domain with very low density may reduce its multiplexing ability with other cyclic shifted SRS sequence. UL SRS for beam training may just be bandwidth limited.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15: Hierarchical UL SRS structure is supported, with macro level targeting beam training and micro level targeting channel state measurement.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16: Macro SRS could reduce its frequency domain samples for overhead reduction. Techniques like compressive sensing could also be used in UL beam training.   </w:t>
      </w:r>
    </w:p>
    <w:p>
      <w:pPr>
        <w:widowControl/>
        <w:spacing w:after="120"/>
        <w:rPr>
          <w:rFonts w:hint="eastAsia" w:ascii="Times New Roman" w:hAnsi="Times New Roman" w:cs="Times New Roman"/>
          <w:b/>
          <w:i/>
          <w:kern w:val="0"/>
          <w:sz w:val="22"/>
          <w:lang w:val="en-US" w:eastAsia="zh-CN"/>
        </w:rPr>
      </w:pP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cs="Times New Roman"/>
          <w:b w:val="0"/>
          <w:bCs/>
          <w:i w:val="0"/>
          <w:iCs/>
          <w:kern w:val="0"/>
          <w:sz w:val="22"/>
          <w:lang w:val="en-US" w:eastAsia="zh-CN"/>
        </w:rPr>
        <w:t xml:space="preserve">   </w:t>
      </w:r>
      <w:r>
        <w:rPr>
          <w:rFonts w:hint="eastAsia" w:ascii="Times New Roman" w:hAnsi="Times New Roman" w:eastAsia="MS Gothic" w:cs="Times New Roman"/>
          <w:kern w:val="28"/>
          <w:sz w:val="28"/>
          <w:szCs w:val="24"/>
          <w:lang w:eastAsia="ja-JP"/>
        </w:rPr>
        <w:t>Conclusion</w:t>
      </w:r>
    </w:p>
    <w:p>
      <w:pPr>
        <w:widowControl/>
        <w:spacing w:after="120"/>
        <w:rPr>
          <w:rFonts w:hint="eastAsia" w:ascii="Times New Roman" w:hAnsi="Times New Roman" w:cs="Times New Roman"/>
          <w:b w:val="0"/>
          <w:bCs/>
          <w:i w:val="0"/>
          <w:iCs/>
          <w:kern w:val="0"/>
          <w:sz w:val="22"/>
          <w:lang w:val="en-US" w:eastAsia="zh-CN"/>
        </w:rPr>
      </w:pPr>
      <w:r>
        <w:rPr>
          <w:rFonts w:hint="eastAsia" w:ascii="Times New Roman" w:hAnsi="Times New Roman" w:cs="Times New Roman"/>
          <w:b w:val="0"/>
          <w:bCs/>
          <w:i w:val="0"/>
          <w:iCs/>
          <w:kern w:val="0"/>
          <w:sz w:val="22"/>
          <w:lang w:val="en-US" w:eastAsia="zh-CN"/>
        </w:rPr>
        <w:t>In this contribution we discuss NR beam management and have the following proposals.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 Initial access should be designed to facilitate usage of (full or partial) beam reciprocity for DL and UL.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2: DL beam management for the first phase (initial access) use the component sub-procedure P-1. UL beam management for the first phase (initial access) use the information gained from P-1.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3: DL beam management for the second phase (after initial access) use the component sub-procedure P-2 and P-3. UL beam management for the second phase relies on sounding reference signal measurement and eNB control.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4: The main components of beam management consists of beam RS transmission, beam RS measurement and CSI report consisting of beam index.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DL Tx beam construction at initial access should be transparent to UE. DL Rx beam should also be implementation specific, with predefined performance requirement;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6: UL random access Rx beam is the same as the DL broadcast Tx beam; All the three possible UL random access Tx beam selection alternatives should be studied, including a combination of them.</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7: Multiple trials of UE Rx beam within one broadcast block should be conducted more in an implementation specific manner, rather than through repetition of synchronization signal and beam RS within one broadcast block;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8: DL control channel Tx could use the same beam as the DL broadcast block; DL control channel Rx beam selection or combination may be implementation specific; UL control channel transmission is controlled by DL and could use the DL control Rx as its Tx beam and DL Tx beam as its Rx beam. Other beam could also be used.</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9: Multi-stage control channel should be designed to facilitate DL control Tx and Rx beam switch, with the first stage using the same beam as DL broadcast block Tx and the second stage using beams with narrower beamwidth.</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10: For beam measurement in the first phase, RSRP measurement of any specific or all possible beams is configured UE specifically when the UE is in connected mode. Corresponding report is also configured UE specifically.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11: Although beam ID is not explicitly detected, it still needs explicit identification of beams related to each broadcast block.</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12: The benefit of UE awareness of how beam is constructed (e.g. beamforming vector ) should be studied.</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13: Refine LTE FD-MIMO framework in the following aspects for NR DL beam management for the second phase: RS overhead reduction, beam combination codebook design, CoMP enhancement, streamlining of transmission modes and CSI report classes.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14: It is necessary for NR TDD to support downlink beam training reference signal for Tx beam and Rx beam selection.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15: Hierarchical UL SRS structure is supported, with macro level targeting beam training and micro level targeting channel state measurement.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16: Macro SRS could reduce its frequency domain samples for overhead reduction. Techniques like compressive sensing could also be used in UL beam training.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References</w:t>
      </w:r>
    </w:p>
    <w:p>
      <w:pPr>
        <w:widowControl/>
        <w:tabs>
          <w:tab w:val="left" w:pos="520"/>
        </w:tabs>
        <w:rPr>
          <w:rFonts w:ascii="Times New Roman" w:hAnsi="Times New Roman" w:eastAsia="Arial Unicode MS" w:cs="Arial"/>
          <w:sz w:val="22"/>
          <w:lang w:val="en-GB"/>
        </w:rPr>
      </w:pPr>
      <w:r>
        <w:rPr>
          <w:rFonts w:hint="eastAsia" w:ascii="Times New Roman" w:hAnsi="Times New Roman" w:eastAsia="Arial Unicode MS" w:cs="Arial"/>
          <w:sz w:val="22"/>
          <w:lang w:val="en-GB"/>
        </w:rPr>
        <w:t>[1] R1-1609690 Views on Framework of NR MIMO and Beam Management</w:t>
      </w:r>
      <w:r>
        <w:rPr>
          <w:rFonts w:hint="eastAsia" w:ascii="Times New Roman" w:hAnsi="Times New Roman" w:eastAsia="Arial Unicode MS" w:cs="Arial"/>
          <w:sz w:val="22"/>
          <w:lang w:val="en-US" w:eastAsia="zh-CN"/>
        </w:rPr>
        <w:t>;</w:t>
      </w:r>
      <w:r>
        <w:rPr>
          <w:rFonts w:ascii="Times New Roman" w:hAnsi="Times New Roman" w:eastAsia="Arial Unicode MS" w:cs="Arial"/>
          <w:sz w:val="22"/>
          <w:lang w:val="en-GB"/>
        </w:rPr>
        <w:t xml:space="preserve"> </w:t>
      </w:r>
    </w:p>
    <w:p>
      <w:pPr>
        <w:widowControl/>
        <w:tabs>
          <w:tab w:val="left" w:pos="520"/>
        </w:tabs>
        <w:rPr>
          <w:rFonts w:ascii="Times New Roman" w:hAnsi="Times New Roman" w:eastAsia="Arial Unicode MS" w:cs="Arial"/>
          <w:sz w:val="22"/>
          <w:lang w:val="en-GB"/>
        </w:rPr>
      </w:pPr>
      <w:r>
        <w:rPr>
          <w:rFonts w:hint="eastAsia" w:ascii="Times New Roman" w:hAnsi="Times New Roman" w:eastAsia="Arial Unicode MS" w:cs="Arial"/>
          <w:sz w:val="22"/>
          <w:lang w:val="en-GB"/>
        </w:rPr>
        <w:t>[2]</w:t>
      </w:r>
      <w:r>
        <w:rPr>
          <w:rFonts w:ascii="Times New Roman" w:hAnsi="Times New Roman" w:eastAsia="Arial Unicode MS" w:cs="Arial"/>
          <w:sz w:val="22"/>
          <w:lang w:val="en-GB"/>
        </w:rPr>
        <w:t xml:space="preserve"> </w:t>
      </w:r>
      <w:r>
        <w:rPr>
          <w:rFonts w:hint="eastAsia" w:ascii="Times New Roman" w:hAnsi="Times New Roman" w:eastAsia="Arial Unicode MS" w:cs="Arial"/>
          <w:sz w:val="22"/>
          <w:lang w:val="en-GB"/>
        </w:rPr>
        <w:t>R1-1609692 Initial Simulation Results of Beam Search</w:t>
      </w:r>
      <w:r>
        <w:rPr>
          <w:rFonts w:hint="eastAsia" w:ascii="Times New Roman" w:hAnsi="Times New Roman" w:eastAsia="Arial Unicode MS" w:cs="Arial"/>
          <w:sz w:val="22"/>
          <w:lang w:val="en-US" w:eastAsia="zh-CN"/>
        </w:rPr>
        <w:t>;</w:t>
      </w:r>
    </w:p>
    <w:p>
      <w:pPr>
        <w:widowControl/>
        <w:tabs>
          <w:tab w:val="left" w:pos="520"/>
        </w:tabs>
        <w:rPr>
          <w:rFonts w:ascii="Times New Roman" w:hAnsi="Times New Roman" w:eastAsia="Arial Unicode MS" w:cs="Arial"/>
          <w:sz w:val="22"/>
        </w:rPr>
      </w:pPr>
    </w:p>
    <w:p>
      <w:pPr>
        <w:widowControl/>
        <w:tabs>
          <w:tab w:val="left" w:pos="520"/>
        </w:tabs>
        <w:rPr>
          <w:rFonts w:ascii="Times New Roman" w:hAnsi="Times New Roman" w:eastAsia="Arial Unicode MS" w:cs="Arial"/>
          <w:sz w:val="22"/>
          <w:lang w:val="en-GB"/>
        </w:rPr>
      </w:pPr>
    </w:p>
    <w:p>
      <w:pPr>
        <w:widowControl/>
        <w:tabs>
          <w:tab w:val="left" w:pos="520"/>
        </w:tabs>
        <w:rPr>
          <w:rFonts w:ascii="Times New Roman" w:hAnsi="Times New Roman" w:eastAsia="Arial Unicode MS" w:cs="Arial"/>
          <w:sz w:val="22"/>
          <w:lang w:val="en-GB"/>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ZapfDingbats">
    <w:altName w:val="AMGDT"/>
    <w:panose1 w:val="00000000000000000000"/>
    <w:charset w:val="02"/>
    <w:family w:val="decorative"/>
    <w:pitch w:val="default"/>
    <w:sig w:usb0="00000000" w:usb1="00000000" w:usb2="00000000" w:usb3="00000000" w:csb0="80000000" w:csb1="00000000"/>
  </w:font>
  <w:font w:name="OpenSymbol">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Ericsson Capital TT">
    <w:altName w:val="Corbel"/>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mn-ea">
    <w:altName w:val="Arial Unicode MS"/>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AMGD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multilevel"/>
    <w:tmpl w:val="04247817"/>
    <w:lvl w:ilvl="0" w:tentative="0">
      <w:start w:val="1"/>
      <w:numFmt w:val="bullet"/>
      <w:lvlText w:val="•"/>
      <w:lvlJc w:val="left"/>
      <w:pPr>
        <w:tabs>
          <w:tab w:val="left" w:pos="720"/>
        </w:tabs>
        <w:ind w:left="720" w:hanging="360"/>
      </w:pPr>
      <w:rPr>
        <w:rFonts w:hint="default" w:ascii="Arial" w:hAnsi="Arial"/>
      </w:rPr>
    </w:lvl>
    <w:lvl w:ilvl="1" w:tentative="0">
      <w:start w:val="3558"/>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8FD4CD6"/>
    <w:multiLevelType w:val="multilevel"/>
    <w:tmpl w:val="18FD4CD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3E1B4062"/>
    <w:multiLevelType w:val="multilevel"/>
    <w:tmpl w:val="3E1B4062"/>
    <w:lvl w:ilvl="0" w:tentative="0">
      <w:start w:val="1"/>
      <w:numFmt w:val="bullet"/>
      <w:lvlText w:val=""/>
      <w:lvlJc w:val="left"/>
      <w:pPr>
        <w:tabs>
          <w:tab w:val="left" w:pos="360"/>
        </w:tabs>
        <w:ind w:left="360" w:hanging="360"/>
      </w:pPr>
      <w:rPr>
        <w:rFonts w:hint="default" w:ascii="Wingdings" w:hAnsi="Wingdings"/>
      </w:rPr>
    </w:lvl>
    <w:lvl w:ilvl="1" w:tentative="0">
      <w:start w:val="1186"/>
      <w:numFmt w:val="bullet"/>
      <w:lvlText w:val="•"/>
      <w:lvlJc w:val="left"/>
      <w:pPr>
        <w:tabs>
          <w:tab w:val="left" w:pos="1080"/>
        </w:tabs>
        <w:ind w:left="1080" w:hanging="360"/>
      </w:pPr>
      <w:rPr>
        <w:rFonts w:hint="default" w:ascii="Arial" w:hAnsi="Arial"/>
      </w:rPr>
    </w:lvl>
    <w:lvl w:ilvl="2" w:tentative="0">
      <w:start w:val="1186"/>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Wingdings" w:hAnsi="Wingdings"/>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3">
    <w:nsid w:val="400718C5"/>
    <w:multiLevelType w:val="multilevel"/>
    <w:tmpl w:val="400718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7E9EC2D"/>
    <w:multiLevelType w:val="multilevel"/>
    <w:tmpl w:val="57E9EC2D"/>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57EB888C"/>
    <w:multiLevelType w:val="multilevel"/>
    <w:tmpl w:val="57EB888C"/>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57EC7245"/>
    <w:multiLevelType w:val="multilevel"/>
    <w:tmpl w:val="57EC7245"/>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57EC7D04"/>
    <w:multiLevelType w:val="multilevel"/>
    <w:tmpl w:val="57EC7D04"/>
    <w:lvl w:ilvl="0" w:tentative="0">
      <w:start w:val="1"/>
      <w:numFmt w:val="bullet"/>
      <w:lvlText w:val=""/>
      <w:lvlJc w:val="left"/>
      <w:pPr>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72D06AB1"/>
    <w:multiLevelType w:val="multilevel"/>
    <w:tmpl w:val="72D06AB1"/>
    <w:lvl w:ilvl="0" w:tentative="0">
      <w:start w:val="1"/>
      <w:numFmt w:val="decimal"/>
      <w:lvlText w:val="%1."/>
      <w:lvlJc w:val="left"/>
      <w:pPr>
        <w:ind w:left="420" w:hanging="420"/>
      </w:pPr>
      <w:rPr>
        <w:rFonts w:hint="default"/>
        <w:sz w:val="28"/>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8"/>
  </w:num>
  <w:num w:numId="3">
    <w:abstractNumId w:val="2"/>
  </w:num>
  <w:num w:numId="4">
    <w:abstractNumId w:val="0"/>
  </w:num>
  <w:num w:numId="5">
    <w:abstractNumId w:val="4"/>
  </w:num>
  <w:num w:numId="6">
    <w:abstractNumId w:val="3"/>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08201130"/>
    <w:rsid w:val="0918208D"/>
    <w:rsid w:val="09A83B76"/>
    <w:rsid w:val="0BEC1A84"/>
    <w:rsid w:val="0EFB71EB"/>
    <w:rsid w:val="12A152EC"/>
    <w:rsid w:val="171C1CB0"/>
    <w:rsid w:val="174152AE"/>
    <w:rsid w:val="1B68276A"/>
    <w:rsid w:val="20DA3B4E"/>
    <w:rsid w:val="23587665"/>
    <w:rsid w:val="252D4738"/>
    <w:rsid w:val="268A184C"/>
    <w:rsid w:val="276F7262"/>
    <w:rsid w:val="2A1760D1"/>
    <w:rsid w:val="2A9E6989"/>
    <w:rsid w:val="2D846CE3"/>
    <w:rsid w:val="2DE51284"/>
    <w:rsid w:val="2FFB582B"/>
    <w:rsid w:val="32E119AD"/>
    <w:rsid w:val="3C5B0938"/>
    <w:rsid w:val="3CE74F17"/>
    <w:rsid w:val="3EDE6561"/>
    <w:rsid w:val="3F1D6337"/>
    <w:rsid w:val="40723410"/>
    <w:rsid w:val="44C026FF"/>
    <w:rsid w:val="48CB2B3B"/>
    <w:rsid w:val="4A1250F5"/>
    <w:rsid w:val="4B9735F7"/>
    <w:rsid w:val="4F2A543A"/>
    <w:rsid w:val="50260FBD"/>
    <w:rsid w:val="545F4120"/>
    <w:rsid w:val="54C32D47"/>
    <w:rsid w:val="58357D82"/>
    <w:rsid w:val="58364FB1"/>
    <w:rsid w:val="5AC6489D"/>
    <w:rsid w:val="5AE4326D"/>
    <w:rsid w:val="5F845FD3"/>
    <w:rsid w:val="64D479BF"/>
    <w:rsid w:val="64FC4D13"/>
    <w:rsid w:val="663619C8"/>
    <w:rsid w:val="672660E1"/>
    <w:rsid w:val="684A54FB"/>
    <w:rsid w:val="6877763F"/>
    <w:rsid w:val="6B175B4D"/>
    <w:rsid w:val="6DCB0FB8"/>
    <w:rsid w:val="6FBB3633"/>
    <w:rsid w:val="738742CF"/>
    <w:rsid w:val="75AF34F7"/>
    <w:rsid w:val="760E3D92"/>
    <w:rsid w:val="786705AB"/>
    <w:rsid w:val="793248B7"/>
    <w:rsid w:val="79AF1950"/>
    <w:rsid w:val="7B144377"/>
    <w:rsid w:val="7C77636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numPr>
        <w:ilvl w:val="0"/>
        <w:numId w:val="1"/>
      </w:numPr>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qFormat/>
    <w:uiPriority w:val="99"/>
    <w:pPr>
      <w:jc w:val="left"/>
    </w:pPr>
  </w:style>
  <w:style w:type="paragraph" w:styleId="5">
    <w:name w:val="Document Map"/>
    <w:basedOn w:val="1"/>
    <w:link w:val="16"/>
    <w:unhideWhenUsed/>
    <w:uiPriority w:val="99"/>
    <w:rPr>
      <w:rFonts w:ascii="宋体" w:eastAsia="宋体"/>
      <w:sz w:val="18"/>
      <w:szCs w:val="18"/>
    </w:rPr>
  </w:style>
  <w:style w:type="paragraph" w:styleId="6">
    <w:name w:val="Balloon Text"/>
    <w:basedOn w:val="1"/>
    <w:link w:val="18"/>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9"/>
    <w:link w:val="8"/>
    <w:semiHidden/>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1 Char"/>
    <w:basedOn w:val="9"/>
    <w:link w:val="2"/>
    <w:qFormat/>
    <w:uiPriority w:val="0"/>
    <w:rPr>
      <w:b/>
      <w:bCs/>
      <w:kern w:val="44"/>
      <w:sz w:val="44"/>
      <w:szCs w:val="44"/>
    </w:rPr>
  </w:style>
  <w:style w:type="character" w:customStyle="1" w:styleId="16">
    <w:name w:val="文档结构图 Char"/>
    <w:basedOn w:val="9"/>
    <w:link w:val="5"/>
    <w:semiHidden/>
    <w:qFormat/>
    <w:uiPriority w:val="99"/>
    <w:rPr>
      <w:rFonts w:ascii="宋体" w:eastAsia="宋体"/>
      <w:sz w:val="18"/>
      <w:szCs w:val="18"/>
    </w:rPr>
  </w:style>
  <w:style w:type="paragraph" w:customStyle="1" w:styleId="17">
    <w:name w:val="List Paragraph"/>
    <w:basedOn w:val="1"/>
    <w:qFormat/>
    <w:uiPriority w:val="34"/>
    <w:pPr>
      <w:ind w:firstLine="420" w:firstLineChars="200"/>
    </w:pPr>
  </w:style>
  <w:style w:type="character" w:customStyle="1" w:styleId="18">
    <w:name w:val="批注框文本 Char"/>
    <w:basedOn w:val="9"/>
    <w:link w:val="6"/>
    <w:semiHidden/>
    <w:uiPriority w:val="99"/>
    <w:rPr>
      <w:sz w:val="18"/>
      <w:szCs w:val="18"/>
    </w:rPr>
  </w:style>
  <w:style w:type="character" w:customStyle="1" w:styleId="19">
    <w:name w:val="批注文字 Char"/>
    <w:basedOn w:val="9"/>
    <w:link w:val="4"/>
    <w:semiHidden/>
    <w:uiPriority w:val="99"/>
  </w:style>
  <w:style w:type="character" w:customStyle="1" w:styleId="20">
    <w:name w:val="批注主题 Char"/>
    <w:basedOn w:val="19"/>
    <w:link w:val="3"/>
    <w:semiHidden/>
    <w:qFormat/>
    <w:uiPriority w:val="99"/>
    <w:rPr>
      <w:b/>
      <w:bCs/>
    </w:rPr>
  </w:style>
  <w:style w:type="paragraph" w:customStyle="1" w:styleId="21">
    <w:name w:val="正文（首行缩进2字符）"/>
    <w:basedOn w:val="1"/>
    <w:link w:val="22"/>
    <w:qFormat/>
    <w:uiPriority w:val="0"/>
    <w:pPr>
      <w:spacing w:line="300" w:lineRule="auto"/>
      <w:ind w:firstLine="440" w:firstLineChars="200"/>
    </w:pPr>
    <w:rPr>
      <w:rFonts w:ascii="Times New Roman" w:hAnsi="Times New Roman" w:eastAsia="宋体" w:cs="Times New Roman"/>
      <w:sz w:val="24"/>
    </w:rPr>
  </w:style>
  <w:style w:type="character" w:customStyle="1" w:styleId="22">
    <w:name w:val="正文（首行缩进2字符） Char"/>
    <w:link w:val="21"/>
    <w:qFormat/>
    <w:uiPriority w:val="0"/>
    <w:rPr>
      <w:rFonts w:ascii="Times New Roman" w:hAnsi="Times New Roman" w:eastAsia="宋体" w:cs="Times New Roman"/>
      <w:sz w:val="24"/>
    </w:rPr>
  </w:style>
  <w:style w:type="paragraph" w:customStyle="1" w:styleId="23">
    <w:name w:val="TAL"/>
    <w:basedOn w:val="1"/>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24">
    <w:name w:val="NF"/>
    <w:basedOn w:val="1"/>
    <w:qFormat/>
    <w:uiPriority w:val="0"/>
    <w:pPr>
      <w:keepNext/>
      <w:keepLines/>
      <w:widowControl/>
      <w:overflowPunct w:val="0"/>
      <w:autoSpaceDE w:val="0"/>
      <w:autoSpaceDN w:val="0"/>
      <w:adjustRightInd w:val="0"/>
      <w:ind w:left="1135" w:hanging="851"/>
      <w:jc w:val="left"/>
      <w:textAlignment w:val="baseline"/>
    </w:pPr>
    <w:rPr>
      <w:rFonts w:ascii="Arial" w:hAnsi="Arial" w:eastAsia="Times New Roman" w:cs="Times New Roman"/>
      <w:kern w:val="0"/>
      <w:sz w:val="18"/>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E889-F8D6-4DA5-8F16-FF78898DBE9A}">
  <ds:schemaRefs/>
</ds:datastoreItem>
</file>

<file path=docProps/app.xml><?xml version="1.0" encoding="utf-8"?>
<Properties xmlns="http://schemas.openxmlformats.org/officeDocument/2006/extended-properties" xmlns:vt="http://schemas.openxmlformats.org/officeDocument/2006/docPropsVTypes">
  <Template>Normal.dotm</Template>
  <Company>Co</Company>
  <Pages>15</Pages>
  <Words>882</Words>
  <Characters>5028</Characters>
  <Lines>41</Lines>
  <Paragraphs>11</Paragraphs>
  <ScaleCrop>false</ScaleCrop>
  <LinksUpToDate>false</LinksUpToDate>
  <CharactersWithSpaces>5899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2016-08-11T08:52:00Z</dcterms:created>
  <dc:creator>匿名用户</dc:creator>
  <cp:lastModifiedBy>xw</cp:lastModifiedBy>
  <dcterms:modified xsi:type="dcterms:W3CDTF">2016-09-30T11:14:43Z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